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3D9750B" w:rsidR="00084C53" w:rsidRDefault="006D49C0" w:rsidP="00281E94">
      <w:pPr>
        <w:pStyle w:val="a"/>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636A92">
        <w:rPr>
          <w:spacing w:val="0"/>
          <w:sz w:val="21"/>
          <w:szCs w:val="21"/>
        </w:rPr>
        <w:t>MM/DD</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2E19048A" w:rsidR="005927ED" w:rsidRPr="00636A92" w:rsidRDefault="00DB1025" w:rsidP="005A04CE">
            <w:pPr>
              <w:rPr>
                <w:rFonts w:ascii="MS PMincho" w:eastAsia="MS PMincho" w:hAnsi="MS PMincho"/>
                <w:sz w:val="22"/>
                <w:szCs w:val="22"/>
              </w:rPr>
            </w:pPr>
            <w:r>
              <w:rPr>
                <w:rFonts w:ascii="MS PMincho" w:eastAsia="MS PMincho" w:hAnsi="MS PMincho"/>
                <w:sz w:val="22"/>
                <w:szCs w:val="22"/>
              </w:rPr>
              <w:t>Warsaw University of Technology</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18F0CD1D" w:rsidR="005927ED" w:rsidRPr="00636A92" w:rsidRDefault="00625CC2" w:rsidP="005A04CE">
            <w:pPr>
              <w:rPr>
                <w:rFonts w:ascii="MS PMincho" w:eastAsia="MS PMincho" w:hAnsi="MS PMincho"/>
                <w:sz w:val="22"/>
                <w:szCs w:val="22"/>
              </w:rPr>
            </w:pPr>
            <w:r>
              <w:rPr>
                <w:rFonts w:ascii="MS PMincho" w:eastAsia="MS PMincho" w:hAnsi="MS PMincho"/>
                <w:sz w:val="22"/>
                <w:szCs w:val="22"/>
              </w:rPr>
              <w:t>Assistant Professor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6109814" w:rsidR="005927ED" w:rsidRPr="00636A92" w:rsidRDefault="00DB1025" w:rsidP="005A04CE">
            <w:pPr>
              <w:rPr>
                <w:rFonts w:ascii="MS PMincho" w:eastAsia="MS PMincho" w:hAnsi="MS PMincho"/>
                <w:sz w:val="22"/>
                <w:szCs w:val="22"/>
              </w:rPr>
            </w:pPr>
            <w:r>
              <w:rPr>
                <w:rFonts w:ascii="MS PMincho" w:eastAsia="MS PMincho" w:hAnsi="MS PMincho"/>
                <w:sz w:val="22"/>
                <w:szCs w:val="22"/>
              </w:rPr>
              <w:t>Anna Dobkowska</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0E5D166" w:rsidR="00FE7BC2" w:rsidRPr="00636A92" w:rsidRDefault="008E7C3A" w:rsidP="005A04CE">
            <w:pPr>
              <w:rPr>
                <w:rFonts w:ascii="MS PMincho" w:eastAsia="MS PMincho" w:hAnsi="MS PMincho"/>
                <w:sz w:val="22"/>
                <w:szCs w:val="22"/>
              </w:rPr>
            </w:pPr>
            <w:r>
              <w:rPr>
                <w:rFonts w:ascii="MS PMincho" w:eastAsia="MS PMincho" w:hAnsi="MS PMincho"/>
                <w:sz w:val="22"/>
                <w:szCs w:val="22"/>
              </w:rPr>
              <w:t>Magnesium Research Centre</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B3FB426" w:rsidR="00FE7BC2" w:rsidRPr="00636A92" w:rsidRDefault="00625CC2" w:rsidP="005A04CE">
            <w:pPr>
              <w:rPr>
                <w:rFonts w:ascii="MS PMincho" w:eastAsia="MS PMincho" w:hAnsi="MS PMincho"/>
                <w:sz w:val="22"/>
                <w:szCs w:val="22"/>
              </w:rPr>
            </w:pPr>
            <w:r w:rsidRPr="00DE39B4">
              <w:rPr>
                <w:rFonts w:ascii="MS PMincho" w:eastAsia="MS PMincho" w:hAnsi="MS PMincho"/>
                <w:lang w:val="en-CA"/>
              </w:rPr>
              <w:t>Director/P</w:t>
            </w:r>
            <w:r>
              <w:rPr>
                <w:rFonts w:ascii="MS PMincho" w:eastAsia="MS PMincho" w:hAnsi="MS PMincho"/>
                <w:lang w:val="en-CA"/>
              </w:rPr>
              <w:t>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96DCE79" w:rsidR="00FE7BC2" w:rsidRPr="00636A92" w:rsidRDefault="008E7C3A" w:rsidP="005A04CE">
            <w:pPr>
              <w:rPr>
                <w:rFonts w:ascii="MS PMincho" w:eastAsia="MS PMincho" w:hAnsi="MS PMincho"/>
                <w:sz w:val="22"/>
                <w:szCs w:val="22"/>
              </w:rPr>
            </w:pPr>
            <w:r>
              <w:rPr>
                <w:rFonts w:ascii="MS PMincho" w:eastAsia="MS PMincho" w:hAnsi="MS PMincho"/>
              </w:rPr>
              <w:t>Yoshihito Kawamura</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13EF9C48" w:rsidR="00596D90" w:rsidRPr="00636A92" w:rsidRDefault="00625CC2" w:rsidP="005A04CE">
            <w:pPr>
              <w:rPr>
                <w:rFonts w:ascii="MS PMincho" w:eastAsia="MS PMincho" w:hAnsi="MS PMincho"/>
                <w:sz w:val="22"/>
                <w:szCs w:val="22"/>
              </w:rPr>
            </w:pPr>
            <w:r>
              <w:rPr>
                <w:rFonts w:ascii="MS PMincho" w:eastAsia="MS PMincho" w:hAnsi="MS PMincho"/>
                <w:sz w:val="22"/>
              </w:rPr>
              <w:t>Towards biomedical functionality of Mg-based alloys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32C559B3" w:rsidR="005A04CE" w:rsidRDefault="00625CC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proofErr w:type="gramStart"/>
            <w:r>
              <w:rPr>
                <w:rFonts w:ascii="MS PMincho" w:eastAsia="MS PMincho" w:hAnsi="MS PMincho"/>
                <w:sz w:val="22"/>
                <w:szCs w:val="22"/>
                <w:lang w:val="pl-PL"/>
              </w:rPr>
              <w:t xml:space="preserve">X </w:t>
            </w:r>
            <w:r w:rsidR="00636A92" w:rsidRPr="00636A92">
              <w:rPr>
                <w:rFonts w:ascii="MS PMincho" w:eastAsia="MS PMincho" w:hAnsi="MS PMincho" w:hint="eastAsia"/>
                <w:sz w:val="22"/>
                <w:szCs w:val="22"/>
              </w:rPr>
              <w:t xml:space="preserve">　Program</w:t>
            </w:r>
            <w:proofErr w:type="gramEnd"/>
            <w:r w:rsidR="00636A92" w:rsidRPr="00636A92">
              <w:rPr>
                <w:rFonts w:ascii="MS PMincho" w:eastAsia="MS PMincho" w:hAnsi="MS PMincho" w:hint="eastAsia"/>
                <w:sz w:val="22"/>
                <w:szCs w:val="22"/>
              </w:rPr>
              <w:t xml:space="preserve">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3533DDD4" w:rsidR="00596D90" w:rsidRPr="00636A92" w:rsidRDefault="00DB1025" w:rsidP="005A04CE">
            <w:pPr>
              <w:ind w:right="68" w:firstLineChars="100" w:firstLine="220"/>
              <w:rPr>
                <w:rFonts w:ascii="MS PMincho" w:eastAsia="MS PMincho" w:hAnsi="MS PMincho"/>
                <w:sz w:val="22"/>
                <w:szCs w:val="22"/>
              </w:rPr>
            </w:pPr>
            <w:r>
              <w:rPr>
                <w:sz w:val="22"/>
                <w:szCs w:val="22"/>
                <w:lang w:val="pl-PL"/>
              </w:rPr>
              <w:t>x</w:t>
            </w:r>
            <w:r w:rsidR="00636A92">
              <w:rPr>
                <w:rFonts w:hint="eastAsia"/>
                <w:sz w:val="22"/>
                <w:szCs w:val="22"/>
              </w:rPr>
              <w:t xml:space="preserve"> </w:t>
            </w:r>
            <w:r w:rsidR="00636A92"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5F00C24B" w14:textId="77777777" w:rsidR="00A16AEA" w:rsidRDefault="008E7C3A" w:rsidP="005A04CE">
            <w:pPr>
              <w:ind w:right="68"/>
              <w:rPr>
                <w:rFonts w:ascii="MS PMincho" w:eastAsia="MS PMincho" w:hAnsi="MS PMincho"/>
                <w:sz w:val="22"/>
                <w:szCs w:val="22"/>
              </w:rPr>
            </w:pPr>
            <w:r>
              <w:rPr>
                <w:rFonts w:ascii="MS PMincho" w:eastAsia="MS PMincho" w:hAnsi="MS PMincho"/>
                <w:sz w:val="22"/>
                <w:szCs w:val="22"/>
              </w:rPr>
              <w:t>FEI Versa 3D</w:t>
            </w:r>
            <w:r w:rsidR="00B23AC0">
              <w:rPr>
                <w:rFonts w:ascii="MS PMincho" w:eastAsia="MS PMincho" w:hAnsi="MS PMincho"/>
                <w:sz w:val="22"/>
                <w:szCs w:val="22"/>
              </w:rPr>
              <w:t xml:space="preserve"> </w:t>
            </w:r>
            <w:proofErr w:type="spellStart"/>
            <w:r w:rsidR="00B23AC0">
              <w:rPr>
                <w:rFonts w:ascii="MS PMincho" w:eastAsia="MS PMincho" w:hAnsi="MS PMincho"/>
                <w:sz w:val="22"/>
                <w:szCs w:val="22"/>
              </w:rPr>
              <w:t>DualBEam</w:t>
            </w:r>
            <w:proofErr w:type="spellEnd"/>
            <w:r w:rsidR="00B23AC0">
              <w:rPr>
                <w:rFonts w:ascii="MS PMincho" w:eastAsia="MS PMincho" w:hAnsi="MS PMincho"/>
                <w:sz w:val="22"/>
                <w:szCs w:val="22"/>
              </w:rPr>
              <w:t xml:space="preserve"> FIB-SEM</w:t>
            </w:r>
          </w:p>
          <w:p w14:paraId="624103B9" w14:textId="16B83DB4" w:rsidR="00B23AC0" w:rsidRPr="00636A92" w:rsidRDefault="00B23AC0" w:rsidP="005A04CE">
            <w:pPr>
              <w:ind w:right="68"/>
              <w:rPr>
                <w:rFonts w:ascii="MS PMincho" w:eastAsia="MS PMincho" w:hAnsi="MS PMincho"/>
                <w:sz w:val="22"/>
                <w:szCs w:val="22"/>
              </w:rPr>
            </w:pPr>
            <w:r>
              <w:rPr>
                <w:rFonts w:ascii="MS PMincho" w:eastAsia="MS PMincho" w:hAnsi="MS PMincho"/>
                <w:sz w:val="22"/>
                <w:szCs w:val="22"/>
              </w:rPr>
              <w:t>Transmission Electron Microscope</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3696AAD3"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w:t>
            </w:r>
            <w:r w:rsidR="00625CC2" w:rsidRPr="00D27037">
              <w:rPr>
                <w:rFonts w:ascii="MS PMincho" w:eastAsia="MS PMincho" w:hAnsi="MS PMincho"/>
                <w:sz w:val="22"/>
                <w:szCs w:val="22"/>
                <w:lang w:val="en-CA"/>
              </w:rPr>
              <w:t>3</w:t>
            </w:r>
            <w:r w:rsidR="00625CC2">
              <w:rPr>
                <w:rFonts w:ascii="MS PMincho" w:eastAsia="MS PMincho" w:hAnsi="MS PMincho"/>
                <w:sz w:val="22"/>
                <w:szCs w:val="22"/>
              </w:rPr>
              <w:t xml:space="preserve">00,000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1007369C"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 xml:space="preserve">（　　　　　　　　　　</w:t>
            </w:r>
            <w:r>
              <w:rPr>
                <w:rFonts w:ascii="MS PMincho" w:eastAsia="MS PMincho" w:hAnsi="MS PMincho" w:hint="eastAsia"/>
                <w:sz w:val="22"/>
                <w:szCs w:val="22"/>
              </w:rPr>
              <w:t>J</w:t>
            </w:r>
            <w:r>
              <w:rPr>
                <w:rFonts w:ascii="MS PMincho" w:eastAsia="MS PMincho" w:hAnsi="MS PMincho"/>
                <w:sz w:val="22"/>
                <w:szCs w:val="22"/>
              </w:rPr>
              <w:t>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05E2FC8B" w:rsidR="00596D90" w:rsidRPr="008E7C3A" w:rsidRDefault="00C13F4C" w:rsidP="005A04CE">
            <w:pPr>
              <w:pStyle w:val="a"/>
              <w:wordWrap/>
              <w:spacing w:line="288" w:lineRule="atLeast"/>
              <w:rPr>
                <w:rFonts w:ascii="MS PMincho" w:eastAsia="MS PMincho" w:hAnsi="MS PMincho"/>
                <w:b/>
                <w:color w:val="FF0000"/>
                <w:spacing w:val="0"/>
                <w:sz w:val="16"/>
                <w:lang w:val="pl-PL"/>
              </w:rPr>
            </w:pPr>
            <w:r w:rsidRPr="00C13F4C">
              <w:rPr>
                <w:rFonts w:ascii="MS PMincho" w:eastAsia="MS PMincho" w:hAnsi="MS PMincho"/>
                <w:b/>
                <w:bCs/>
                <w:spacing w:val="0"/>
              </w:rPr>
              <w:t>Research Results</w:t>
            </w:r>
          </w:p>
          <w:p w14:paraId="2E2165E4" w14:textId="742A41D3" w:rsidR="00596D90" w:rsidRPr="008E7C3A" w:rsidRDefault="00C13F4C" w:rsidP="005A04CE">
            <w:pPr>
              <w:pStyle w:val="a"/>
              <w:wordWrap/>
              <w:spacing w:line="288" w:lineRule="atLeast"/>
              <w:rPr>
                <w:rFonts w:ascii="MS PMincho" w:eastAsia="MS PMincho" w:hAnsi="MS PMincho"/>
                <w:b/>
                <w:bCs/>
                <w:spacing w:val="0"/>
                <w:lang w:val="pl-PL"/>
              </w:rPr>
            </w:pPr>
            <w:r w:rsidRPr="008E7C3A">
              <w:rPr>
                <w:rFonts w:ascii="MS PMincho" w:eastAsia="MS PMincho" w:hAnsi="MS PMincho"/>
                <w:b/>
                <w:bCs/>
                <w:spacing w:val="0"/>
              </w:rPr>
              <w:t>The major results</w:t>
            </w:r>
          </w:p>
          <w:p w14:paraId="2F97B481" w14:textId="77777777" w:rsidR="009D35A8" w:rsidRDefault="00625CC2" w:rsidP="005A04CE">
            <w:pPr>
              <w:pStyle w:val="a"/>
              <w:wordWrap/>
              <w:spacing w:line="288" w:lineRule="atLeast"/>
              <w:rPr>
                <w:rFonts w:ascii="MS PMincho" w:eastAsia="MS PMincho" w:hAnsi="MS PMincho"/>
                <w:spacing w:val="0"/>
              </w:rPr>
            </w:pPr>
            <w:r w:rsidRPr="00625CC2">
              <w:rPr>
                <w:rFonts w:ascii="MS PMincho" w:eastAsia="MS PMincho" w:hAnsi="MS PMincho"/>
                <w:spacing w:val="0"/>
              </w:rPr>
              <w:t xml:space="preserve">Within this project </w:t>
            </w:r>
            <w:r w:rsidRPr="00625CC2">
              <w:rPr>
                <w:rFonts w:ascii="MS PMincho" w:eastAsia="MS PMincho" w:hAnsi="MS PMincho"/>
                <w:spacing w:val="0"/>
              </w:rPr>
              <w:t xml:space="preserve">Mg–0.9Zn–2.05Y–0.15Al–0.1Yb </w:t>
            </w:r>
            <w:proofErr w:type="gramStart"/>
            <w:r>
              <w:rPr>
                <w:rFonts w:ascii="MS PMincho" w:eastAsia="MS PMincho" w:hAnsi="MS PMincho"/>
                <w:spacing w:val="0"/>
              </w:rPr>
              <w:t>at.%</w:t>
            </w:r>
            <w:proofErr w:type="gramEnd"/>
            <w:r>
              <w:rPr>
                <w:rFonts w:ascii="MS PMincho" w:eastAsia="MS PMincho" w:hAnsi="MS PMincho"/>
                <w:spacing w:val="0"/>
              </w:rPr>
              <w:t xml:space="preserve"> </w:t>
            </w:r>
            <w:r w:rsidRPr="00625CC2">
              <w:rPr>
                <w:rFonts w:ascii="MS PMincho" w:eastAsia="MS PMincho" w:hAnsi="MS PMincho"/>
                <w:spacing w:val="0"/>
              </w:rPr>
              <w:t>alloy was gas-atomized, processed by laser powder bed fusion, and subsequently analyzed in terms of its microstructure</w:t>
            </w:r>
            <w:r>
              <w:rPr>
                <w:rFonts w:ascii="MS PMincho" w:eastAsia="MS PMincho" w:hAnsi="MS PMincho"/>
                <w:spacing w:val="0"/>
              </w:rPr>
              <w:t xml:space="preserve">, mechanical and corrosion properties. </w:t>
            </w:r>
          </w:p>
          <w:p w14:paraId="761BEA40" w14:textId="2E510D2E" w:rsidR="009D35A8" w:rsidRDefault="00D41E6C" w:rsidP="005A04CE">
            <w:pPr>
              <w:pStyle w:val="a"/>
              <w:wordWrap/>
              <w:spacing w:line="288" w:lineRule="atLeast"/>
              <w:rPr>
                <w:rFonts w:ascii="MS PMincho" w:eastAsia="MS PMincho" w:hAnsi="MS PMincho"/>
                <w:spacing w:val="0"/>
              </w:rPr>
            </w:pPr>
            <w:r w:rsidRPr="00D41E6C">
              <w:rPr>
                <w:rFonts w:ascii="MS PMincho" w:eastAsia="MS PMincho" w:hAnsi="MS PMincho"/>
                <w:spacing w:val="0"/>
              </w:rPr>
              <w:t>The atomization process enabled the production of powders suitable for processing by the powder bed fusion–laser beam (PBF-LB) technique. However, the fabricated samples were not fully densified, and residual porosity of approximately 0.4% was observed. This should be further optimized in future studies, as such porosity levels may negatively affect the material properties. Nevertheless, the produced alloy exhibited a refined microstructure, and the LPSO phases were successfully preserved, which constituted the primary objective of this research.</w:t>
            </w:r>
            <w:r>
              <w:rPr>
                <w:rFonts w:ascii="MS PMincho" w:eastAsia="MS PMincho" w:hAnsi="MS PMincho"/>
                <w:spacing w:val="0"/>
              </w:rPr>
              <w:t xml:space="preserve"> </w:t>
            </w:r>
          </w:p>
          <w:p w14:paraId="2FC77C5D" w14:textId="040CA602" w:rsidR="00596D90" w:rsidRPr="00625CC2" w:rsidRDefault="00D41E6C" w:rsidP="005A04CE">
            <w:pPr>
              <w:pStyle w:val="a"/>
              <w:wordWrap/>
              <w:spacing w:line="288" w:lineRule="atLeast"/>
              <w:rPr>
                <w:rFonts w:ascii="MS PMincho" w:eastAsia="MS PMincho" w:hAnsi="MS PMincho"/>
                <w:spacing w:val="0"/>
              </w:rPr>
            </w:pPr>
            <w:r w:rsidRPr="00D41E6C">
              <w:rPr>
                <w:rFonts w:ascii="MS PMincho" w:eastAsia="MS PMincho" w:hAnsi="MS PMincho"/>
                <w:spacing w:val="0"/>
              </w:rPr>
              <w:t xml:space="preserve">Our results indicate a dual effect of the refined microstructure on the corrosion </w:t>
            </w:r>
            <w:proofErr w:type="spellStart"/>
            <w:r w:rsidRPr="00D41E6C">
              <w:rPr>
                <w:rFonts w:ascii="MS PMincho" w:eastAsia="MS PMincho" w:hAnsi="MS PMincho"/>
                <w:spacing w:val="0"/>
              </w:rPr>
              <w:t>behaviour</w:t>
            </w:r>
            <w:proofErr w:type="spellEnd"/>
            <w:r w:rsidRPr="00D41E6C">
              <w:rPr>
                <w:rFonts w:ascii="MS PMincho" w:eastAsia="MS PMincho" w:hAnsi="MS PMincho"/>
                <w:spacing w:val="0"/>
              </w:rPr>
              <w:t xml:space="preserve"> of the material. </w:t>
            </w:r>
            <w:r>
              <w:rPr>
                <w:rFonts w:ascii="MS PMincho" w:eastAsia="MS PMincho" w:hAnsi="MS PMincho"/>
                <w:spacing w:val="0"/>
              </w:rPr>
              <w:t>Firstly</w:t>
            </w:r>
            <w:r w:rsidRPr="00D41E6C">
              <w:rPr>
                <w:rFonts w:ascii="MS PMincho" w:eastAsia="MS PMincho" w:hAnsi="MS PMincho"/>
                <w:spacing w:val="0"/>
              </w:rPr>
              <w:t>, microstructural refinement may promote the formation of a more homogeneous surface and improve corrosion uniformity</w:t>
            </w:r>
            <w:r>
              <w:rPr>
                <w:rFonts w:ascii="MS PMincho" w:eastAsia="MS PMincho" w:hAnsi="MS PMincho"/>
                <w:spacing w:val="0"/>
              </w:rPr>
              <w:t xml:space="preserve">. Conversely, </w:t>
            </w:r>
            <w:r w:rsidRPr="00D41E6C">
              <w:rPr>
                <w:rFonts w:ascii="MS PMincho" w:eastAsia="MS PMincho" w:hAnsi="MS PMincho"/>
                <w:spacing w:val="0"/>
              </w:rPr>
              <w:t>the increased density of phase boundaries and secondary phases can locally accelerate degradation processes and promote microgalvanic corrosion.</w:t>
            </w:r>
            <w:r>
              <w:rPr>
                <w:rFonts w:ascii="MS PMincho" w:eastAsia="MS PMincho" w:hAnsi="MS PMincho"/>
                <w:spacing w:val="0"/>
              </w:rPr>
              <w:t xml:space="preserve"> </w:t>
            </w:r>
            <w:r w:rsidR="009D35A8">
              <w:rPr>
                <w:rFonts w:ascii="MS PMincho" w:eastAsia="MS PMincho" w:hAnsi="MS PMincho"/>
                <w:spacing w:val="0"/>
              </w:rPr>
              <w:t xml:space="preserve">The mechanical properties were analyzed using micro-specimens, and the results showed that microstructural changes induced by 3D printing resulted in decrease of R0.2, but elongation increased when compared to IM and RSRC samples. </w:t>
            </w:r>
          </w:p>
          <w:p w14:paraId="6A6CDD1F" w14:textId="26E1F250" w:rsidR="00596D90" w:rsidRPr="008E7C3A" w:rsidRDefault="00C13F4C" w:rsidP="005A04CE">
            <w:pPr>
              <w:pStyle w:val="a"/>
              <w:wordWrap/>
              <w:spacing w:line="288" w:lineRule="atLeast"/>
              <w:rPr>
                <w:rFonts w:ascii="MS PMincho" w:eastAsia="MS PMincho" w:hAnsi="MS PMincho"/>
                <w:b/>
                <w:bCs/>
                <w:spacing w:val="0"/>
                <w:lang w:val="pl-PL"/>
              </w:rPr>
            </w:pPr>
            <w:proofErr w:type="gramStart"/>
            <w:r w:rsidRPr="008E7C3A">
              <w:rPr>
                <w:rFonts w:ascii="MS PMincho" w:eastAsia="MS PMincho" w:hAnsi="MS PMincho"/>
                <w:b/>
                <w:bCs/>
                <w:spacing w:val="0"/>
              </w:rPr>
              <w:t>Future Prospects</w:t>
            </w:r>
            <w:proofErr w:type="gramEnd"/>
          </w:p>
          <w:p w14:paraId="5E7A75FD" w14:textId="2A55FDF9" w:rsidR="00596D90" w:rsidRPr="005927ED" w:rsidRDefault="00D41E6C" w:rsidP="005A04CE">
            <w:pPr>
              <w:pStyle w:val="a"/>
              <w:wordWrap/>
              <w:spacing w:line="288" w:lineRule="atLeast"/>
              <w:rPr>
                <w:rFonts w:ascii="MS PMincho" w:eastAsia="MS PMincho" w:hAnsi="MS PMincho"/>
                <w:spacing w:val="0"/>
              </w:rPr>
            </w:pPr>
            <w:r w:rsidRPr="00D41E6C">
              <w:rPr>
                <w:rFonts w:ascii="MS PMincho" w:eastAsia="MS PMincho" w:hAnsi="MS PMincho"/>
                <w:spacing w:val="0"/>
              </w:rPr>
              <w:t xml:space="preserve">Further optimization of the PBF-LB processing parameters is required to achieve a fully densified microstructure with minimized residual porosity. </w:t>
            </w:r>
            <w:proofErr w:type="gramStart"/>
            <w:r w:rsidRPr="00D41E6C">
              <w:rPr>
                <w:rFonts w:ascii="MS PMincho" w:eastAsia="MS PMincho" w:hAnsi="MS PMincho"/>
                <w:spacing w:val="0"/>
              </w:rPr>
              <w:t>In particular, parameters</w:t>
            </w:r>
            <w:proofErr w:type="gramEnd"/>
            <w:r w:rsidRPr="00D41E6C">
              <w:rPr>
                <w:rFonts w:ascii="MS PMincho" w:eastAsia="MS PMincho" w:hAnsi="MS PMincho"/>
                <w:spacing w:val="0"/>
              </w:rPr>
              <w:t xml:space="preserve"> such as laser power, scanning speed, hatch spacing, and layer thickness should be carefully adjusted to improve melt pool stability and interlayer bonding. Achieving near-full densification is essential to ensure improved mechanical performance, corrosion resistance, and overall reliability of the printed alloy.</w:t>
            </w:r>
          </w:p>
          <w:p w14:paraId="6BD61496" w14:textId="05D6C8F1" w:rsidR="00596D90" w:rsidRDefault="00C13F4C" w:rsidP="005A04CE">
            <w:pPr>
              <w:pStyle w:val="a"/>
              <w:wordWrap/>
              <w:spacing w:line="288" w:lineRule="atLeast"/>
              <w:rPr>
                <w:rFonts w:ascii="MS PMincho" w:eastAsia="MS PMincho" w:hAnsi="MS PMincho"/>
                <w:b/>
                <w:bCs/>
                <w:spacing w:val="0"/>
              </w:rPr>
            </w:pPr>
            <w:r w:rsidRPr="008E7C3A">
              <w:rPr>
                <w:rFonts w:ascii="MS PMincho" w:eastAsia="MS PMincho" w:hAnsi="MS PMincho"/>
                <w:b/>
                <w:bCs/>
                <w:spacing w:val="0"/>
              </w:rPr>
              <w:t>Concrete results</w:t>
            </w:r>
          </w:p>
          <w:p w14:paraId="0B36D8C7" w14:textId="7EAC0D1C" w:rsidR="008E7C3A" w:rsidRPr="008E7C3A" w:rsidRDefault="008E7C3A" w:rsidP="005A04CE">
            <w:pPr>
              <w:pStyle w:val="a"/>
              <w:wordWrap/>
              <w:spacing w:line="288" w:lineRule="atLeast"/>
              <w:rPr>
                <w:rFonts w:ascii="MS PMincho" w:eastAsia="MS PMincho" w:hAnsi="MS PMincho"/>
                <w:b/>
                <w:bCs/>
                <w:spacing w:val="0"/>
              </w:rPr>
            </w:pPr>
            <w:r>
              <w:rPr>
                <w:rFonts w:ascii="MS PMincho" w:eastAsia="MS PMincho" w:hAnsi="MS PMincho"/>
                <w:b/>
                <w:bCs/>
                <w:spacing w:val="0"/>
              </w:rPr>
              <w:t xml:space="preserve">The results were shown during </w:t>
            </w:r>
          </w:p>
          <w:p w14:paraId="2B1D7F3D" w14:textId="7400FD53" w:rsidR="00596D90" w:rsidRPr="005927ED" w:rsidRDefault="00D41E6C" w:rsidP="008E7C3A">
            <w:pPr>
              <w:pStyle w:val="a"/>
              <w:wordWrap/>
              <w:spacing w:line="288" w:lineRule="atLeast"/>
              <w:rPr>
                <w:rFonts w:ascii="MS PMincho" w:eastAsia="MS PMincho" w:hAnsi="MS PMincho"/>
              </w:rPr>
            </w:pPr>
            <w:r w:rsidRPr="00D41E6C">
              <w:rPr>
                <w:rFonts w:ascii="MS PMincho" w:eastAsia="MS PMincho" w:hAnsi="MS PMincho"/>
                <w:spacing w:val="0"/>
              </w:rPr>
              <w:t>Th</w:t>
            </w:r>
            <w:r>
              <w:rPr>
                <w:rFonts w:ascii="MS PMincho" w:eastAsia="MS PMincho" w:hAnsi="MS PMincho"/>
                <w:spacing w:val="0"/>
              </w:rPr>
              <w:t xml:space="preserve">e results of this work </w:t>
            </w:r>
            <w:r w:rsidR="008E7C3A">
              <w:rPr>
                <w:rFonts w:ascii="MS PMincho" w:eastAsia="MS PMincho" w:hAnsi="MS PMincho"/>
                <w:spacing w:val="0"/>
              </w:rPr>
              <w:t xml:space="preserve">will be shown during symposium organized by the Institute of </w:t>
            </w:r>
            <w:proofErr w:type="gramStart"/>
            <w:r w:rsidR="008E7C3A">
              <w:rPr>
                <w:rFonts w:ascii="MS PMincho" w:eastAsia="MS PMincho" w:hAnsi="MS PMincho"/>
                <w:spacing w:val="0"/>
              </w:rPr>
              <w:t>High Pressure</w:t>
            </w:r>
            <w:proofErr w:type="gramEnd"/>
            <w:r w:rsidR="008E7C3A">
              <w:rPr>
                <w:rFonts w:ascii="MS PMincho" w:eastAsia="MS PMincho" w:hAnsi="MS PMincho"/>
                <w:spacing w:val="0"/>
              </w:rPr>
              <w:t xml:space="preserve"> Physics, Polish Academy of Science </w:t>
            </w:r>
            <w:r w:rsidR="008E7C3A" w:rsidRPr="008E7C3A">
              <w:rPr>
                <w:rFonts w:ascii="MS PMincho" w:eastAsia="MS PMincho" w:hAnsi="MS PMincho"/>
                <w:spacing w:val="0"/>
              </w:rPr>
              <w:t>AMPB2026</w:t>
            </w:r>
            <w:r w:rsidR="008E7C3A">
              <w:rPr>
                <w:rFonts w:ascii="MS PMincho" w:eastAsia="MS PMincho" w:hAnsi="MS PMincho"/>
                <w:spacing w:val="0"/>
              </w:rPr>
              <w:t xml:space="preserve"> in Poland. The results of this work will be prepared in the form of publication and submitted to Journal of Magnesium and Alloys. </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E67F" w14:textId="77777777" w:rsidR="00CA0A43" w:rsidRDefault="00CA0A43">
      <w:r>
        <w:separator/>
      </w:r>
    </w:p>
  </w:endnote>
  <w:endnote w:type="continuationSeparator" w:id="0">
    <w:p w14:paraId="538A1B08" w14:textId="77777777" w:rsidR="00CA0A43" w:rsidRDefault="00CA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6D2F" w14:textId="77777777" w:rsidR="00CA0A43" w:rsidRDefault="00CA0A43">
      <w:r>
        <w:separator/>
      </w:r>
    </w:p>
  </w:footnote>
  <w:footnote w:type="continuationSeparator" w:id="0">
    <w:p w14:paraId="785649AA" w14:textId="77777777" w:rsidR="00CA0A43" w:rsidRDefault="00CA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Nagwek"/>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32C5"/>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E3E12"/>
    <w:rsid w:val="005F7A9B"/>
    <w:rsid w:val="006072A7"/>
    <w:rsid w:val="00625CC2"/>
    <w:rsid w:val="00636A9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635E"/>
    <w:rsid w:val="00864BA7"/>
    <w:rsid w:val="00870BE9"/>
    <w:rsid w:val="00876B94"/>
    <w:rsid w:val="008770E0"/>
    <w:rsid w:val="0087731F"/>
    <w:rsid w:val="00886F13"/>
    <w:rsid w:val="008915C0"/>
    <w:rsid w:val="008B29F3"/>
    <w:rsid w:val="008B5755"/>
    <w:rsid w:val="008D165D"/>
    <w:rsid w:val="008D5347"/>
    <w:rsid w:val="008D7C8A"/>
    <w:rsid w:val="008E713D"/>
    <w:rsid w:val="008E7C24"/>
    <w:rsid w:val="008E7C3A"/>
    <w:rsid w:val="008F5DD4"/>
    <w:rsid w:val="00903249"/>
    <w:rsid w:val="00904012"/>
    <w:rsid w:val="0090662A"/>
    <w:rsid w:val="00927E4C"/>
    <w:rsid w:val="00940197"/>
    <w:rsid w:val="009534DB"/>
    <w:rsid w:val="00954345"/>
    <w:rsid w:val="009637A5"/>
    <w:rsid w:val="0098375D"/>
    <w:rsid w:val="009C69DB"/>
    <w:rsid w:val="009C7D2B"/>
    <w:rsid w:val="009D1A94"/>
    <w:rsid w:val="009D35A8"/>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23AC0"/>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C13F4C"/>
    <w:rsid w:val="00C16201"/>
    <w:rsid w:val="00C336BA"/>
    <w:rsid w:val="00C4373F"/>
    <w:rsid w:val="00C608C4"/>
    <w:rsid w:val="00C6198A"/>
    <w:rsid w:val="00C61FA7"/>
    <w:rsid w:val="00C75BA8"/>
    <w:rsid w:val="00C806F8"/>
    <w:rsid w:val="00C8773A"/>
    <w:rsid w:val="00C93DC4"/>
    <w:rsid w:val="00C94BC8"/>
    <w:rsid w:val="00CA0A43"/>
    <w:rsid w:val="00CB631A"/>
    <w:rsid w:val="00CC2722"/>
    <w:rsid w:val="00CC3420"/>
    <w:rsid w:val="00CD363D"/>
    <w:rsid w:val="00CD5A91"/>
    <w:rsid w:val="00CD6D9E"/>
    <w:rsid w:val="00CE285E"/>
    <w:rsid w:val="00CE43F0"/>
    <w:rsid w:val="00CF0215"/>
    <w:rsid w:val="00D024DD"/>
    <w:rsid w:val="00D25AF2"/>
    <w:rsid w:val="00D26A00"/>
    <w:rsid w:val="00D33219"/>
    <w:rsid w:val="00D41E6C"/>
    <w:rsid w:val="00D5057F"/>
    <w:rsid w:val="00D50603"/>
    <w:rsid w:val="00D520B8"/>
    <w:rsid w:val="00D7048F"/>
    <w:rsid w:val="00D82B04"/>
    <w:rsid w:val="00D82C90"/>
    <w:rsid w:val="00D82DA2"/>
    <w:rsid w:val="00DA0032"/>
    <w:rsid w:val="00DA044E"/>
    <w:rsid w:val="00DB1025"/>
    <w:rsid w:val="00DB1B60"/>
    <w:rsid w:val="00DB4369"/>
    <w:rsid w:val="00DB4924"/>
    <w:rsid w:val="00DD0428"/>
    <w:rsid w:val="00DD5F5D"/>
    <w:rsid w:val="00DE4412"/>
    <w:rsid w:val="00DF4E75"/>
    <w:rsid w:val="00E152D1"/>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76DC"/>
    <w:rsid w:val="00F16AE6"/>
    <w:rsid w:val="00F3695C"/>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96D90"/>
    <w:pPr>
      <w:widowControl w:val="0"/>
      <w:jc w:val="both"/>
    </w:pPr>
    <w:rPr>
      <w:kern w:val="2"/>
      <w:sz w:val="21"/>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Nagwek">
    <w:name w:val="header"/>
    <w:basedOn w:val="Normalny"/>
    <w:link w:val="NagwekZnak"/>
    <w:uiPriority w:val="99"/>
    <w:pPr>
      <w:tabs>
        <w:tab w:val="center" w:pos="4252"/>
        <w:tab w:val="right" w:pos="8504"/>
      </w:tabs>
      <w:snapToGrid w:val="0"/>
    </w:pPr>
  </w:style>
  <w:style w:type="paragraph" w:styleId="Stopka">
    <w:name w:val="footer"/>
    <w:basedOn w:val="Normalny"/>
    <w:pPr>
      <w:tabs>
        <w:tab w:val="center" w:pos="4252"/>
        <w:tab w:val="right" w:pos="8504"/>
      </w:tabs>
      <w:snapToGrid w:val="0"/>
    </w:pPr>
  </w:style>
  <w:style w:type="character" w:styleId="Numerstrony">
    <w:name w:val="page number"/>
    <w:basedOn w:val="Domylnaczcionkaakapitu"/>
  </w:style>
  <w:style w:type="paragraph" w:styleId="Tekstdymka">
    <w:name w:val="Balloon Text"/>
    <w:basedOn w:val="Normalny"/>
    <w:semiHidden/>
    <w:rPr>
      <w:rFonts w:ascii="Arial" w:eastAsia="MS Gothic" w:hAnsi="Arial"/>
      <w:sz w:val="18"/>
      <w:szCs w:val="18"/>
    </w:rPr>
  </w:style>
  <w:style w:type="character" w:styleId="Odwoaniedokomentarza">
    <w:name w:val="annotation reference"/>
    <w:semiHidden/>
    <w:rPr>
      <w:sz w:val="18"/>
      <w:szCs w:val="18"/>
    </w:rPr>
  </w:style>
  <w:style w:type="paragraph" w:styleId="Tekstkomentarza">
    <w:name w:val="annotation text"/>
    <w:basedOn w:val="Normalny"/>
    <w:semiHidden/>
    <w:pPr>
      <w:jc w:val="left"/>
    </w:pPr>
  </w:style>
  <w:style w:type="paragraph" w:styleId="Tematkomentarza">
    <w:name w:val="annotation subject"/>
    <w:basedOn w:val="Tekstkomentarza"/>
    <w:next w:val="Tekstkomentarz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ipercze">
    <w:name w:val="Hyperlink"/>
    <w:rsid w:val="00F963DD"/>
    <w:rPr>
      <w:color w:val="0000FF"/>
      <w:u w:val="single"/>
    </w:rPr>
  </w:style>
  <w:style w:type="character" w:customStyle="1" w:styleId="NagwekZnak">
    <w:name w:val="Nagłówek Znak"/>
    <w:link w:val="Nagwek"/>
    <w:uiPriority w:val="99"/>
    <w:rsid w:val="00DD5F5D"/>
    <w:rPr>
      <w:kern w:val="2"/>
      <w:sz w:val="21"/>
      <w:szCs w:val="24"/>
    </w:rPr>
  </w:style>
  <w:style w:type="table" w:styleId="Tabela-Siatka">
    <w:name w:val="Table Grid"/>
    <w:basedOn w:val="Standardowy"/>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625CC2"/>
    <w:rPr>
      <w:rFonts w:ascii="MS Mincho" w:cs="Century"/>
      <w:sz w:val="22"/>
      <w:szCs w:val="22"/>
    </w:rPr>
  </w:style>
  <w:style w:type="character" w:customStyle="1" w:styleId="ZwykytekstZnak">
    <w:name w:val="Zwykły tekst Znak"/>
    <w:basedOn w:val="Domylnaczcionkaakapitu"/>
    <w:link w:val="Zwykytekst"/>
    <w:rsid w:val="00625CC2"/>
    <w:rPr>
      <w:rFonts w:ascii="MS Mincho" w:cs="Century"/>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2</Pages>
  <Words>507</Words>
  <Characters>3045</Characters>
  <Application>Microsoft Office Word</Application>
  <DocSecurity>0</DocSecurity>
  <Lines>25</Lines>
  <Paragraphs>7</Paragraphs>
  <ScaleCrop>false</ScaleCrop>
  <HeadingPairs>
    <vt:vector size="4" baseType="variant">
      <vt:variant>
        <vt:lpstr>Tytuł</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Dobkowska Anna</cp:lastModifiedBy>
  <cp:revision>7</cp:revision>
  <cp:lastPrinted>2023-04-26T09:24:00Z</cp:lastPrinted>
  <dcterms:created xsi:type="dcterms:W3CDTF">2024-04-17T05:00:00Z</dcterms:created>
  <dcterms:modified xsi:type="dcterms:W3CDTF">2026-05-13T07:32:00Z</dcterms:modified>
</cp:coreProperties>
</file>